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Obesity (KSSO &gt;=25 / WHO &gt;=30, country-specific) (odds ratio 0.99 (95% CI 0.92 to 1.08), false discovery rate q 0.886) among 26491 adults aged 20 years or older (a weighted Obesity (KSSO &gt;=25 / WHO &gt;=30, country-specific) prevalence of 36.9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0.92 to 1.08)</w:t>
            </w:r>
          </w:p>
        </w:tc>
        <w:tc>
          <w:tcPr>
            <w:tcW w:type="dxa" w:w="1234"/>
          </w:tcPr>
          <w:p>
            <w:r>
              <w:t>0.865</w:t>
            </w:r>
          </w:p>
        </w:tc>
        <w:tc>
          <w:tcPr>
            <w:tcW w:type="dxa" w:w="1234"/>
          </w:tcPr>
          <w:p>
            <w:r>
              <w:t>0.886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