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Obesity (KSSO &gt;=25 / WHO &gt;=30, country-specific) (odds ratio per 1-SD 1.68 (95% CI 1.48 to 1.91),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1.68 (95% CI 1.48 to 1.91)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106.9</w:t>
            </w:r>
          </w:p>
        </w:tc>
        <w:tc>
          <w:tcPr>
            <w:tcW w:type="dxa" w:w="2160"/>
          </w:tcPr>
          <w:p>
            <w:r>
              <w:t>102.6</w:t>
            </w:r>
          </w:p>
        </w:tc>
        <w:tc>
          <w:tcPr>
            <w:tcW w:type="dxa" w:w="2160"/>
          </w:tcPr>
          <w:p>
            <w:r>
              <w:t>114.4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