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Gamma-glutamyl transferase, IU/L and Obesity (KSSO &gt;=25 / WHO &gt;=30, country-specific)</w:t>
      </w:r>
    </w:p>
    <w:p>
      <w:r>
        <w:t>NHANES · National Health and Nutrition Examination Survey · association analysis · logistic OR</w:t>
      </w:r>
    </w:p>
    <w:p>
      <w:pPr>
        <w:pStyle w:val="Heading1"/>
      </w:pPr>
      <w:r>
        <w:t>Abstract</w:t>
      </w:r>
    </w:p>
    <w:p>
      <w:r>
        <w:t>In the National Health and Nutrition Examination Survey, Gamma-glutamyl transferase, IU/L was positively associated with Obesity (KSSO &gt;=25 / WHO &gt;=30, country-specific) (odds ratio per 1-SD 1.23 (95% CI 1.12 to 1.34), false discovery rate q &lt;0.001) among 26491 adults aged 20 years or older (a weighted Obesity (KSSO &gt;=25 / WHO &gt;=30, country-specific) prevalence of 36.9 percent, survey-weighted). Confounders: Age, years, Male sex, Ever smoking (past/current), Ever alcohol (past/current). This cross-sectional association is hypothesis-generating and requires prospective confirmation.</w:t>
      </w:r>
    </w:p>
    <w:p>
      <w:pPr>
        <w:pStyle w:val="Heading1"/>
      </w:pPr>
      <w:r>
        <w:t>Methods</w:t>
      </w:r>
    </w:p>
    <w:p>
      <w:r>
        <w:t>Survey-weighted logistic regression. Adjusted for age, sex, smoking and alcohol. Adiposity measures are the exposure family and are not used for adjustment. Adjustment for this exposure: Age, years, Male sex, Ever smoking (past/current), Ever alcohol (past/current). Continuous exposures modeled per 1-SD. Multiplicity controlled with the Benjamini-Hochberg false discovery rate across the matrix.</w:t>
      </w:r>
    </w:p>
    <w:p>
      <w:pPr>
        <w:pStyle w:val="Heading1"/>
      </w:pPr>
      <w:r>
        <w:t>Association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t>Exposure</w:t>
            </w:r>
          </w:p>
        </w:tc>
        <w:tc>
          <w:tcPr>
            <w:tcW w:type="dxa" w:w="1234"/>
          </w:tcPr>
          <w:p>
            <w:r>
              <w:t>Outcome</w:t>
            </w:r>
          </w:p>
        </w:tc>
        <w:tc>
          <w:tcPr>
            <w:tcW w:type="dxa" w:w="1234"/>
          </w:tcPr>
          <w:p>
            <w:r>
              <w:t>Measure</w:t>
            </w:r>
          </w:p>
        </w:tc>
        <w:tc>
          <w:tcPr>
            <w:tcW w:type="dxa" w:w="1234"/>
          </w:tcPr>
          <w:p>
            <w:r>
              <w:t>Adjusted estimate (95% CI)</w:t>
            </w:r>
          </w:p>
        </w:tc>
        <w:tc>
          <w:tcPr>
            <w:tcW w:type="dxa" w:w="1234"/>
          </w:tcPr>
          <w:p>
            <w:r>
              <w:t>p</w:t>
            </w:r>
          </w:p>
        </w:tc>
        <w:tc>
          <w:tcPr>
            <w:tcW w:type="dxa" w:w="1234"/>
          </w:tcPr>
          <w:p>
            <w:r>
              <w:t>FDR q</w:t>
            </w:r>
          </w:p>
        </w:tc>
        <w:tc>
          <w:tcPr>
            <w:tcW w:type="dxa" w:w="1234"/>
          </w:tcPr>
          <w:p>
            <w:r>
              <w:t>N</w:t>
            </w:r>
          </w:p>
        </w:tc>
      </w:tr>
      <w:tr>
        <w:tc>
          <w:tcPr>
            <w:tcW w:type="dxa" w:w="1234"/>
          </w:tcPr>
          <w:p>
            <w:r>
              <w:t>Gamma-glutamyl transferase, IU/L</w:t>
            </w:r>
          </w:p>
        </w:tc>
        <w:tc>
          <w:tcPr>
            <w:tcW w:type="dxa" w:w="1234"/>
          </w:tcPr>
          <w:p>
            <w:r>
              <w:t>Obesity (KSSO &gt;=25 / WHO &gt;=30, country-specific)</w:t>
            </w:r>
          </w:p>
        </w:tc>
        <w:tc>
          <w:tcPr>
            <w:tcW w:type="dxa" w:w="1234"/>
          </w:tcPr>
          <w:p>
            <w:r>
              <w:t>OR</w:t>
            </w:r>
          </w:p>
        </w:tc>
        <w:tc>
          <w:tcPr>
            <w:tcW w:type="dxa" w:w="1234"/>
          </w:tcPr>
          <w:p>
            <w:r>
              <w:t>1.23 (95% CI 1.12 to 1.34)</w:t>
            </w:r>
          </w:p>
        </w:tc>
        <w:tc>
          <w:tcPr>
            <w:tcW w:type="dxa" w:w="1234"/>
          </w:tcPr>
          <w:p>
            <w:r>
              <w:t>&lt;0.001</w:t>
            </w:r>
          </w:p>
        </w:tc>
        <w:tc>
          <w:tcPr>
            <w:tcW w:type="dxa" w:w="1234"/>
          </w:tcPr>
          <w:p>
            <w:r>
              <w:t>&lt;0.001</w:t>
            </w:r>
          </w:p>
        </w:tc>
        <w:tc>
          <w:tcPr>
            <w:tcW w:type="dxa" w:w="1234"/>
          </w:tcPr>
          <w:p>
            <w:r>
              <w:t>26491</w:t>
            </w:r>
          </w:p>
        </w:tc>
      </w:tr>
    </w:tbl>
    <w:p>
      <w:pPr>
        <w:pStyle w:val="Heading1"/>
      </w:pPr>
      <w:r>
        <w:t>Descriptive (weighted) by outcome group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Variable</w:t>
            </w:r>
          </w:p>
        </w:tc>
        <w:tc>
          <w:tcPr>
            <w:tcW w:type="dxa" w:w="2160"/>
          </w:tcPr>
          <w:p>
            <w:r>
              <w:t>Overall</w:t>
            </w:r>
          </w:p>
        </w:tc>
        <w:tc>
          <w:tcPr>
            <w:tcW w:type="dxa" w:w="2160"/>
          </w:tcPr>
          <w:p>
            <w:r>
              <w:t>No Obesity (KSSO &gt;=25 / WHO &gt;=30, country-specific)</w:t>
            </w:r>
          </w:p>
        </w:tc>
        <w:tc>
          <w:tcPr>
            <w:tcW w:type="dxa" w:w="2160"/>
          </w:tcPr>
          <w:p>
            <w:r>
              <w:t>Obesity (KSSO &gt;=25 / WHO &gt;=30, country-specific)</w:t>
            </w:r>
          </w:p>
        </w:tc>
      </w:tr>
      <w:tr>
        <w:tc>
          <w:tcPr>
            <w:tcW w:type="dxa" w:w="2160"/>
          </w:tcPr>
          <w:p>
            <w:r>
              <w:t>Gamma-glutamyl transferase, IU/L (exposure)</w:t>
            </w:r>
          </w:p>
        </w:tc>
        <w:tc>
          <w:tcPr>
            <w:tcW w:type="dxa" w:w="2160"/>
          </w:tcPr>
          <w:p>
            <w:r>
              <w:t>28.4</w:t>
            </w:r>
          </w:p>
        </w:tc>
        <w:tc>
          <w:tcPr>
            <w:tcW w:type="dxa" w:w="2160"/>
          </w:tcPr>
          <w:p>
            <w:r>
              <w:t>26.1</w:t>
            </w:r>
          </w:p>
        </w:tc>
        <w:tc>
          <w:tcPr>
            <w:tcW w:type="dxa" w:w="2160"/>
          </w:tcPr>
          <w:p>
            <w:r>
              <w:t>32.3</w:t>
            </w:r>
          </w:p>
        </w:tc>
      </w:tr>
      <w:tr>
        <w:tc>
          <w:tcPr>
            <w:tcW w:type="dxa" w:w="2160"/>
          </w:tcPr>
          <w:p>
            <w:r>
              <w:t>Age, years</w:t>
            </w:r>
          </w:p>
        </w:tc>
        <w:tc>
          <w:tcPr>
            <w:tcW w:type="dxa" w:w="2160"/>
          </w:tcPr>
          <w:p>
            <w:r>
              <w:t>47.4</w:t>
            </w:r>
          </w:p>
        </w:tc>
        <w:tc>
          <w:tcPr>
            <w:tcW w:type="dxa" w:w="2160"/>
          </w:tcPr>
          <w:p>
            <w:r>
              <w:t>47.0</w:t>
            </w:r>
          </w:p>
        </w:tc>
        <w:tc>
          <w:tcPr>
            <w:tcW w:type="dxa" w:w="2160"/>
          </w:tcPr>
          <w:p>
            <w:r>
              <w:t>48.0</w:t>
            </w:r>
          </w:p>
        </w:tc>
      </w:tr>
      <w:tr>
        <w:tc>
          <w:tcPr>
            <w:tcW w:type="dxa" w:w="2160"/>
          </w:tcPr>
          <w:p>
            <w:r>
              <w:t>Male sex</w:t>
            </w:r>
          </w:p>
        </w:tc>
        <w:tc>
          <w:tcPr>
            <w:tcW w:type="dxa" w:w="2160"/>
          </w:tcPr>
          <w:p>
            <w:r>
              <w:t>48.0%</w:t>
            </w:r>
          </w:p>
        </w:tc>
        <w:tc>
          <w:tcPr>
            <w:tcW w:type="dxa" w:w="2160"/>
          </w:tcPr>
          <w:p>
            <w:r>
              <w:t>49.2%</w:t>
            </w:r>
          </w:p>
        </w:tc>
        <w:tc>
          <w:tcPr>
            <w:tcW w:type="dxa" w:w="2160"/>
          </w:tcPr>
          <w:p>
            <w:r>
              <w:t>46.1%</w:t>
            </w:r>
          </w:p>
        </w:tc>
      </w:tr>
      <w:tr>
        <w:tc>
          <w:tcPr>
            <w:tcW w:type="dxa" w:w="2160"/>
          </w:tcPr>
          <w:p>
            <w:r>
              <w:t>Ever smoking (past/current)</w:t>
            </w:r>
          </w:p>
        </w:tc>
        <w:tc>
          <w:tcPr>
            <w:tcW w:type="dxa" w:w="2160"/>
          </w:tcPr>
          <w:p>
            <w:r>
              <w:t>43.2%</w:t>
            </w:r>
          </w:p>
        </w:tc>
        <w:tc>
          <w:tcPr>
            <w:tcW w:type="dxa" w:w="2160"/>
          </w:tcPr>
          <w:p>
            <w:r>
              <w:t>43.3%</w:t>
            </w:r>
          </w:p>
        </w:tc>
        <w:tc>
          <w:tcPr>
            <w:tcW w:type="dxa" w:w="2160"/>
          </w:tcPr>
          <w:p>
            <w:r>
              <w:t>43.0%</w:t>
            </w:r>
          </w:p>
        </w:tc>
      </w:tr>
      <w:tr>
        <w:tc>
          <w:tcPr>
            <w:tcW w:type="dxa" w:w="2160"/>
          </w:tcPr>
          <w:p>
            <w:r>
              <w:t>Ever alcohol (past/current)</w:t>
            </w:r>
          </w:p>
        </w:tc>
        <w:tc>
          <w:tcPr>
            <w:tcW w:type="dxa" w:w="2160"/>
          </w:tcPr>
          <w:p>
            <w:r>
              <w:t>80.7%</w:t>
            </w:r>
          </w:p>
        </w:tc>
        <w:tc>
          <w:tcPr>
            <w:tcW w:type="dxa" w:w="2160"/>
          </w:tcPr>
          <w:p>
            <w:r>
              <w:t>81.9%</w:t>
            </w:r>
          </w:p>
        </w:tc>
        <w:tc>
          <w:tcPr>
            <w:tcW w:type="dxa" w:w="2160"/>
          </w:tcPr>
          <w:p>
            <w:r>
              <w:t>78.8%</w:t>
            </w:r>
          </w:p>
        </w:tc>
      </w:tr>
    </w:tbl>
    <w:p>
      <w:r>
        <w:t>Statistics are deterministic survey-weighted estimates (R survey). All findings are hypothesis-generating.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