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Obesity (KSSO &gt;=25 / WHO &gt;=30,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HDL cholesterol, mg/dL was inversely associated with Obesity (KSSO &gt;=25 / WHO &gt;=30, country-specific) (odds ratio per 1-SD 0.46 (95% CI 0.43 to 0.48), false discovery rate q &lt;0.001) among 26491 adults aged 20 years or older (a weighted Obesity (KSSO &gt;=25 / WHO &gt;=30, country-specific) prevalence of 36.9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0.46 (95% CI 0.43 to 0.48)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HDL cholesterol, mg/dL (exposure)</w:t>
            </w:r>
          </w:p>
        </w:tc>
        <w:tc>
          <w:tcPr>
            <w:tcW w:type="dxa" w:w="2160"/>
          </w:tcPr>
          <w:p>
            <w:r>
              <w:t>53.8</w:t>
            </w:r>
          </w:p>
        </w:tc>
        <w:tc>
          <w:tcPr>
            <w:tcW w:type="dxa" w:w="2160"/>
          </w:tcPr>
          <w:p>
            <w:r>
              <w:t>57.0</w:t>
            </w:r>
          </w:p>
        </w:tc>
        <w:tc>
          <w:tcPr>
            <w:tcW w:type="dxa" w:w="2160"/>
          </w:tcPr>
          <w:p>
            <w:r>
              <w:t>48.3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48.0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46.1%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78.8%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