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Hypertriglyceridemia (NCEP TG&gt;=150) and Obesity (KSSO &gt;=25 / WHO &gt;=30, country-specific)</w:t>
      </w:r>
    </w:p>
    <w:p>
      <w:r>
        <w:t>NHANES ·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National Health and Nutrition Examination Survey, Hypertriglyceridemia (NCEP TG&gt;=150) was positively associated with Obesity (KSSO &gt;=25 / WHO &gt;=30, country-specific) (odds ratio 2.23 (95% CI 2.01 to 2.48), false discovery rate q &lt;0.001) among 26491 adults aged 20 years or older (a weighted Obesity (KSSO &gt;=25 / WHO &gt;=30, country-specific) prevalence of 36.9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Hypertriglyceridemia (NCEP TG&gt;=150)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2.23 (95% CI 2.01 to 2.48)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Hypertriglyceridemia (NCEP TG&gt;=150) (exposure)</w:t>
            </w:r>
          </w:p>
        </w:tc>
        <w:tc>
          <w:tcPr>
            <w:tcW w:type="dxa" w:w="2160"/>
          </w:tcPr>
          <w:p>
            <w:r>
              <w:t>25.0%</w:t>
            </w:r>
          </w:p>
        </w:tc>
        <w:tc>
          <w:tcPr>
            <w:tcW w:type="dxa" w:w="2160"/>
          </w:tcPr>
          <w:p>
            <w:r>
              <w:t>19.4%</w:t>
            </w:r>
          </w:p>
        </w:tc>
        <w:tc>
          <w:tcPr>
            <w:tcW w:type="dxa" w:w="2160"/>
          </w:tcPr>
          <w:p>
            <w:r>
              <w:t>34.5%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47.0</w:t>
            </w:r>
          </w:p>
        </w:tc>
        <w:tc>
          <w:tcPr>
            <w:tcW w:type="dxa" w:w="2160"/>
          </w:tcPr>
          <w:p>
            <w:r>
              <w:t>48.0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48.0%</w:t>
            </w:r>
          </w:p>
        </w:tc>
        <w:tc>
          <w:tcPr>
            <w:tcW w:type="dxa" w:w="2160"/>
          </w:tcPr>
          <w:p>
            <w:r>
              <w:t>49.2%</w:t>
            </w:r>
          </w:p>
        </w:tc>
        <w:tc>
          <w:tcPr>
            <w:tcW w:type="dxa" w:w="2160"/>
          </w:tcPr>
          <w:p>
            <w:r>
              <w:t>46.1%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43.2%</w:t>
            </w:r>
          </w:p>
        </w:tc>
        <w:tc>
          <w:tcPr>
            <w:tcW w:type="dxa" w:w="2160"/>
          </w:tcPr>
          <w:p>
            <w:r>
              <w:t>43.3%</w:t>
            </w:r>
          </w:p>
        </w:tc>
        <w:tc>
          <w:tcPr>
            <w:tcW w:type="dxa" w:w="2160"/>
          </w:tcPr>
          <w:p>
            <w:r>
              <w:t>43.0%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80.7%</w:t>
            </w:r>
          </w:p>
        </w:tc>
        <w:tc>
          <w:tcPr>
            <w:tcW w:type="dxa" w:w="2160"/>
          </w:tcPr>
          <w:p>
            <w:r>
              <w:t>81.9%</w:t>
            </w:r>
          </w:p>
        </w:tc>
        <w:tc>
          <w:tcPr>
            <w:tcW w:type="dxa" w:w="2160"/>
          </w:tcPr>
          <w:p>
            <w:r>
              <w:t>78.8%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