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LDL cholesterol, mg/dL was positively associated with Obesity (KSSO &gt;=25 / WHO &gt;=30, country-specific) (odds ratio per 1-SD 1.04 (95% CI 0.99 to 1.09), false discovery rate q 0.160)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0.99 to 1.09)</w:t>
            </w:r>
          </w:p>
        </w:tc>
        <w:tc>
          <w:tcPr>
            <w:tcW w:type="dxa" w:w="1234"/>
          </w:tcPr>
          <w:p>
            <w:r>
              <w:t>0.126</w:t>
            </w:r>
          </w:p>
        </w:tc>
        <w:tc>
          <w:tcPr>
            <w:tcW w:type="dxa" w:w="1234"/>
          </w:tcPr>
          <w:p>
            <w:r>
              <w:t>0.160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113.8</w:t>
            </w:r>
          </w:p>
        </w:tc>
        <w:tc>
          <w:tcPr>
            <w:tcW w:type="dxa" w:w="2160"/>
          </w:tcPr>
          <w:p>
            <w:r>
              <w:t>113.2</w:t>
            </w:r>
          </w:p>
        </w:tc>
        <w:tc>
          <w:tcPr>
            <w:tcW w:type="dxa" w:w="2160"/>
          </w:tcPr>
          <w:p>
            <w:r>
              <w:t>114.8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