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positively associated with Obesity (KSSO &gt;=25 / WHO &gt;=30, country-specific) (odds ratio 8.05 (95% CI 6.94 to 9.34), false discovery rate q &lt;0.001)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8.05 (95% CI 6.94 to 9.34)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Metabolic syndrome (exposure)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22.0%</w:t>
            </w:r>
          </w:p>
        </w:tc>
        <w:tc>
          <w:tcPr>
            <w:tcW w:type="dxa" w:w="2160"/>
          </w:tcPr>
          <w:p>
            <w:r>
              <w:t>64.5%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