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Osteoporosis (T-score&lt;=-2.5, age&gt;=50) and Obesity (KSSO &gt;=25 / WHO &gt;=30, country-specific)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Osteoporosis (T-score&lt;=-2.5, age&gt;=50) was inversely associated with Obesity (KSSO &gt;=25 / WHO &gt;=30, country-specific) (odds ratio 0.23 (95% CI 0.17 to 0.31), false discovery rate q &lt;0.001) among 26491 adults aged 20 years or older (a weighted Obesity (KSSO &gt;=25 / WHO &gt;=30, country-specific) prevalence of 36.9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the exposure family and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0.23 (95% CI 0.17 to 0.31)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Obesity (KSSO &gt;=25 / WHO &gt;=30, country-specific)</w:t>
            </w:r>
          </w:p>
        </w:tc>
        <w:tc>
          <w:tcPr>
            <w:tcW w:type="dxa" w:w="2160"/>
          </w:tcPr>
          <w:p>
            <w:r>
              <w:t>Obesity (KSSO &gt;=25 / WHO &gt;=30, country-specific)</w:t>
            </w:r>
          </w:p>
        </w:tc>
      </w:tr>
      <w:tr>
        <w:tc>
          <w:tcPr>
            <w:tcW w:type="dxa" w:w="2160"/>
          </w:tcPr>
          <w:p>
            <w:r>
              <w:t>Osteoporosis (T-score&lt;=-2.5, age&gt;=50) (exposure)</w:t>
            </w:r>
          </w:p>
        </w:tc>
        <w:tc>
          <w:tcPr>
            <w:tcW w:type="dxa" w:w="2160"/>
          </w:tcPr>
          <w:p>
            <w:r>
              <w:t>8.7%</w:t>
            </w:r>
          </w:p>
        </w:tc>
        <w:tc>
          <w:tcPr>
            <w:tcW w:type="dxa" w:w="2160"/>
          </w:tcPr>
          <w:p>
            <w:r>
              <w:t>11.8%</w:t>
            </w:r>
          </w:p>
        </w:tc>
        <w:tc>
          <w:tcPr>
            <w:tcW w:type="dxa" w:w="2160"/>
          </w:tcPr>
          <w:p>
            <w:r>
              <w:t>3.1%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48.0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46.1%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81.9%</w:t>
            </w:r>
          </w:p>
        </w:tc>
        <w:tc>
          <w:tcPr>
            <w:tcW w:type="dxa" w:w="2160"/>
          </w:tcPr>
          <w:p>
            <w:r>
              <w:t>78.8%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