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Obesity (KSSO &gt;=25 / WHO &gt;=30, country-specific) (odds ratio per 1-SD 1.25 (95% CI 1.20 to 1.31),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1.25 (95% CI 1.20 to 1.31)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249.3</w:t>
            </w:r>
          </w:p>
        </w:tc>
        <w:tc>
          <w:tcPr>
            <w:tcW w:type="dxa" w:w="2160"/>
          </w:tcPr>
          <w:p>
            <w:r>
              <w:t>244.3</w:t>
            </w:r>
          </w:p>
        </w:tc>
        <w:tc>
          <w:tcPr>
            <w:tcW w:type="dxa" w:w="2160"/>
          </w:tcPr>
          <w:p>
            <w:r>
              <w:t>258.0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