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Obesity (KSSO &gt;=25 / WHO &gt;=30, country-specific) (odds ratio 1.38 (95% CI 1.26 to 1.51),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1.38 (95% CI 1.26 to 1.51)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32.5%</w:t>
            </w:r>
          </w:p>
        </w:tc>
        <w:tc>
          <w:tcPr>
            <w:tcW w:type="dxa" w:w="2160"/>
          </w:tcPr>
          <w:p>
            <w:r>
              <w:t>29.9%</w:t>
            </w:r>
          </w:p>
        </w:tc>
        <w:tc>
          <w:tcPr>
            <w:tcW w:type="dxa" w:w="2160"/>
          </w:tcPr>
          <w:p>
            <w:r>
              <w:t>37.0%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