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Obesity (KSSO &gt;=25 / WHO &gt;=30,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Triglycerides, mg/dL was positively associated with Obesity (KSSO &gt;=25 / WHO &gt;=30, country-specific) (odds ratio per 1-SD 1.50 (95% CI 1.36 to 1.66), false discovery rate q &lt;0.001) among 26491 adults aged 20 years or older (a weighted Obesity (KSSO &gt;=25 / WHO &gt;=30, country-specific) prevalence of 36.9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1.50 (95% CI 1.36 to 1.66)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Triglycerides, mg/dL (exposure)</w:t>
            </w:r>
          </w:p>
        </w:tc>
        <w:tc>
          <w:tcPr>
            <w:tcW w:type="dxa" w:w="2160"/>
          </w:tcPr>
          <w:p>
            <w:r>
              <w:t>124.0</w:t>
            </w:r>
          </w:p>
        </w:tc>
        <w:tc>
          <w:tcPr>
            <w:tcW w:type="dxa" w:w="2160"/>
          </w:tcPr>
          <w:p>
            <w:r>
              <w:t>112.4</w:t>
            </w:r>
          </w:p>
        </w:tc>
        <w:tc>
          <w:tcPr>
            <w:tcW w:type="dxa" w:w="2160"/>
          </w:tcPr>
          <w:p>
            <w:r>
              <w:t>143.8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48.0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46.1%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78.8%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