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inversely associated with Osteoporosis (T-score&lt;=-2.5, age&gt;=50) (odds ratio per 1-SD 0.96 (95% CI 0.74 to 1.25), false discovery rate q 0.813)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0.74 to 1.25)</w:t>
            </w:r>
          </w:p>
        </w:tc>
        <w:tc>
          <w:tcPr>
            <w:tcW w:type="dxa" w:w="1234"/>
          </w:tcPr>
          <w:p>
            <w:r>
              <w:t>0.784</w:t>
            </w:r>
          </w:p>
        </w:tc>
        <w:tc>
          <w:tcPr>
            <w:tcW w:type="dxa" w:w="1234"/>
          </w:tcPr>
          <w:p>
            <w:r>
              <w:t>0.813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20.7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