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Osteoporosis (T-score&lt;=-2.5, age&gt;=50) (odds ratio 1.49 (95% CI 0.85 to 2.63), false discovery rate q 0.212)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1.49 (95% CI 0.85 to 2.63)</w:t>
            </w:r>
          </w:p>
        </w:tc>
        <w:tc>
          <w:tcPr>
            <w:tcW w:type="dxa" w:w="1234"/>
          </w:tcPr>
          <w:p>
            <w:r>
              <w:t>0.171</w:t>
            </w:r>
          </w:p>
        </w:tc>
        <w:tc>
          <w:tcPr>
            <w:tcW w:type="dxa" w:w="1234"/>
          </w:tcPr>
          <w:p>
            <w:r>
              <w:t>0.212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13.9%</w:t>
            </w:r>
          </w:p>
        </w:tc>
        <w:tc>
          <w:tcPr>
            <w:tcW w:type="dxa" w:w="2160"/>
          </w:tcPr>
          <w:p>
            <w:r>
              <w:t>13.8%</w:t>
            </w:r>
          </w:p>
        </w:tc>
        <w:tc>
          <w:tcPr>
            <w:tcW w:type="dxa" w:w="2160"/>
          </w:tcPr>
          <w:p>
            <w:r>
              <w:t>14.4%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