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fat, % was inversely associated with Osteoporosis (T-score&lt;=-2.5, age&gt;=50) (odds ratio per 1-SD 0.54 (95% CI 0.34 to 0.85), false discovery rate q 0.016) among 6930 adults aged 20 years or older (a weighted Osteoporosis (T-score&lt;=-2.5, age&gt;=50) prevalence of 8.7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0.54 (95% CI 0.34 to 0.85)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34.8</w:t>
            </w:r>
          </w:p>
        </w:tc>
        <w:tc>
          <w:tcPr>
            <w:tcW w:type="dxa" w:w="2160"/>
          </w:tcPr>
          <w:p>
            <w:r>
              <w:t>34.7</w:t>
            </w:r>
          </w:p>
        </w:tc>
        <w:tc>
          <w:tcPr>
            <w:tcW w:type="dxa" w:w="2160"/>
          </w:tcPr>
          <w:p>
            <w:r>
              <w:t>35.9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