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Osteoporosis (T-score&lt;=-2.5, age&gt;=50)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inversely associated with Osteoporosis (T-score&lt;=-2.5, age&gt;=50) (odds ratio 0.37 (95% CI 0.27 to 0.51), false discovery rate q &lt;0.001) among 6930 adults aged 20 years or older (a weighted Osteoporosis (T-score&lt;=-2.5, age&gt;=50) prevalence of 8.7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0.37 (95% CI 0.27 to 0.51)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6930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Osteoporosis (T-score&lt;=-2.5, age&gt;=50)</w:t>
            </w:r>
          </w:p>
        </w:tc>
        <w:tc>
          <w:tcPr>
            <w:tcW w:type="dxa" w:w="2160"/>
          </w:tcPr>
          <w:p>
            <w:r>
              <w:t>Osteoporosis (T-score&lt;=-2.5, age&gt;=50)</w:t>
            </w:r>
          </w:p>
        </w:tc>
      </w:tr>
      <w:tr>
        <w:tc>
          <w:tcPr>
            <w:tcW w:type="dxa" w:w="2160"/>
          </w:tcPr>
          <w:p>
            <w:r>
              <w:t>Central obesity (WHtR&gt;=0.5) (exposure)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  <w:tc>
          <w:tcPr>
            <w:tcW w:type="dxa" w:w="2160"/>
          </w:tcPr>
          <w:p>
            <w:r>
              <w:t>79.8%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62.8</w:t>
            </w:r>
          </w:p>
        </w:tc>
        <w:tc>
          <w:tcPr>
            <w:tcW w:type="dxa" w:w="2160"/>
          </w:tcPr>
          <w:p>
            <w:r>
              <w:t>62.2</w:t>
            </w:r>
          </w:p>
        </w:tc>
        <w:tc>
          <w:tcPr>
            <w:tcW w:type="dxa" w:w="2160"/>
          </w:tcPr>
          <w:p>
            <w:r>
              <w:t>68.6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46.6%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17.6%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41.3%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77.1%</w:t>
            </w:r>
          </w:p>
        </w:tc>
        <w:tc>
          <w:tcPr>
            <w:tcW w:type="dxa" w:w="2160"/>
          </w:tcPr>
          <w:p>
            <w:r>
              <w:t>78.3%</w:t>
            </w:r>
          </w:p>
        </w:tc>
        <w:tc>
          <w:tcPr>
            <w:tcW w:type="dxa" w:w="2160"/>
          </w:tcPr>
          <w:p>
            <w:r>
              <w:t>65.3%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