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Osteoporosis (T-score&lt;=-2.5, age&gt;=50) (odds ratio 1.19 (95% CI 0.91 to 1.55), false discovery rate q 0.250)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0.91 to 1.55)</w:t>
            </w:r>
          </w:p>
        </w:tc>
        <w:tc>
          <w:tcPr>
            <w:tcW w:type="dxa" w:w="1234"/>
          </w:tcPr>
          <w:p>
            <w:r>
              <w:t>0.205</w:t>
            </w:r>
          </w:p>
        </w:tc>
        <w:tc>
          <w:tcPr>
            <w:tcW w:type="dxa" w:w="1234"/>
          </w:tcPr>
          <w:p>
            <w:r>
              <w:t>0.250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18.7%</w:t>
            </w:r>
          </w:p>
        </w:tc>
        <w:tc>
          <w:tcPr>
            <w:tcW w:type="dxa" w:w="2160"/>
          </w:tcPr>
          <w:p>
            <w:r>
              <w:t>17.8%</w:t>
            </w:r>
          </w:p>
        </w:tc>
        <w:tc>
          <w:tcPr>
            <w:tcW w:type="dxa" w:w="2160"/>
          </w:tcPr>
          <w:p>
            <w:r>
              <w:t>29.0%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