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Osteoporosis (T-score&lt;=-2.5, age&gt;=50) (odds ratio per 1-SD 0.84 (95% CI 0.54 to 1.31), false discovery rate q 0.523)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0.54 to 1.31)</w:t>
            </w:r>
          </w:p>
        </w:tc>
        <w:tc>
          <w:tcPr>
            <w:tcW w:type="dxa" w:w="1234"/>
          </w:tcPr>
          <w:p>
            <w:r>
              <w:t>0.465</w:t>
            </w:r>
          </w:p>
        </w:tc>
        <w:tc>
          <w:tcPr>
            <w:tcW w:type="dxa" w:w="1234"/>
          </w:tcPr>
          <w:p>
            <w:r>
              <w:t>0.523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271.6</w:t>
            </w:r>
          </w:p>
        </w:tc>
        <w:tc>
          <w:tcPr>
            <w:tcW w:type="dxa" w:w="2160"/>
          </w:tcPr>
          <w:p>
            <w:r>
              <w:t>275.4</w:t>
            </w:r>
          </w:p>
        </w:tc>
        <w:tc>
          <w:tcPr>
            <w:tcW w:type="dxa" w:w="2160"/>
          </w:tcPr>
          <w:p>
            <w:r>
              <w:t>240.5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