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Osteoporosis (T-score&lt;=-2.5, age&gt;=50) (odds ratio per 1-SD 1.04 (95% CI 0.91 to 1.19), false discovery rate q 0.620)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0.91 to 1.19)</w:t>
            </w:r>
          </w:p>
        </w:tc>
        <w:tc>
          <w:tcPr>
            <w:tcW w:type="dxa" w:w="1234"/>
          </w:tcPr>
          <w:p>
            <w:r>
              <w:t>0.566</w:t>
            </w:r>
          </w:p>
        </w:tc>
        <w:tc>
          <w:tcPr>
            <w:tcW w:type="dxa" w:w="1234"/>
          </w:tcPr>
          <w:p>
            <w:r>
              <w:t>0.620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71.1</w:t>
            </w:r>
          </w:p>
        </w:tc>
        <w:tc>
          <w:tcPr>
            <w:tcW w:type="dxa" w:w="2160"/>
          </w:tcPr>
          <w:p>
            <w:r>
              <w:t>71.4</w:t>
            </w:r>
          </w:p>
        </w:tc>
        <w:tc>
          <w:tcPr>
            <w:tcW w:type="dxa" w:w="2160"/>
          </w:tcPr>
          <w:p>
            <w:r>
              <w:t>67.8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