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inversely associated with Osteoporosis (T-score&lt;=-2.5, age&gt;=50) (odds ratio 0.82 (95% CI 0.65 to 1.04), false discovery rate q 0.132)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0.82 (95% CI 0.65 to 1.04)</w:t>
            </w:r>
          </w:p>
        </w:tc>
        <w:tc>
          <w:tcPr>
            <w:tcW w:type="dxa" w:w="1234"/>
          </w:tcPr>
          <w:p>
            <w:r>
              <w:t>0.102</w:t>
            </w:r>
          </w:p>
        </w:tc>
        <w:tc>
          <w:tcPr>
            <w:tcW w:type="dxa" w:w="1234"/>
          </w:tcPr>
          <w:p>
            <w:r>
              <w:t>0.132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Dyslipidemia (KSoLA composite) (exposure)</w:t>
            </w:r>
          </w:p>
        </w:tc>
        <w:tc>
          <w:tcPr>
            <w:tcW w:type="dxa" w:w="2160"/>
          </w:tcPr>
          <w:p>
            <w:r>
              <w:t>61.9%</w:t>
            </w:r>
          </w:p>
        </w:tc>
        <w:tc>
          <w:tcPr>
            <w:tcW w:type="dxa" w:w="2160"/>
          </w:tcPr>
          <w:p>
            <w:r>
              <w:t>62.5%</w:t>
            </w:r>
          </w:p>
        </w:tc>
        <w:tc>
          <w:tcPr>
            <w:tcW w:type="dxa" w:w="2160"/>
          </w:tcPr>
          <w:p>
            <w:r>
              <w:t>56.2%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