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inversely associated with Osteoporosis (T-score&lt;=-2.5, age&gt;=50) (odds ratio 0.74 (95% CI 0.36 to 1.51), false discovery rate q 0.486)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0.36 to 1.51)</w:t>
            </w:r>
          </w:p>
        </w:tc>
        <w:tc>
          <w:tcPr>
            <w:tcW w:type="dxa" w:w="1234"/>
          </w:tcPr>
          <w:p>
            <w:r>
              <w:t>0.428</w:t>
            </w:r>
          </w:p>
        </w:tc>
        <w:tc>
          <w:tcPr>
            <w:tcW w:type="dxa" w:w="1234"/>
          </w:tcPr>
          <w:p>
            <w:r>
              <w:t>0.486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64.0%</w:t>
            </w:r>
          </w:p>
        </w:tc>
        <w:tc>
          <w:tcPr>
            <w:tcW w:type="dxa" w:w="2160"/>
          </w:tcPr>
          <w:p>
            <w:r>
              <w:t>66.9%</w:t>
            </w:r>
          </w:p>
        </w:tc>
        <w:tc>
          <w:tcPr>
            <w:tcW w:type="dxa" w:w="2160"/>
          </w:tcPr>
          <w:p>
            <w:r>
              <w:t>41.0%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