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body fat (M&gt;=25/F&gt;=35%) and Osteoporosis (T-score&lt;=-2.5, age&gt;=50)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High body fat (M&gt;=25/F&gt;=35%) was inversely associated with Osteoporosis (T-score&lt;=-2.5, age&gt;=50) (odds ratio 0.34 (95% CI 0.17 to 0.68), false discovery rate q 0.007) among 6930 adults aged 20 years or older (a weighted Osteoporosis (T-score&lt;=-2.5, age&gt;=50) prevalence of 8.7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0.34 (95% CI 0.17 to 0.68)</w:t>
            </w:r>
          </w:p>
        </w:tc>
        <w:tc>
          <w:tcPr>
            <w:tcW w:type="dxa" w:w="1234"/>
          </w:tcPr>
          <w:p>
            <w:r>
              <w:t>0.004</w:t>
            </w:r>
          </w:p>
        </w:tc>
        <w:tc>
          <w:tcPr>
            <w:tcW w:type="dxa" w:w="1234"/>
          </w:tcPr>
          <w:p>
            <w:r>
              <w:t>0.007</w:t>
            </w:r>
          </w:p>
        </w:tc>
        <w:tc>
          <w:tcPr>
            <w:tcW w:type="dxa" w:w="1234"/>
          </w:tcPr>
          <w:p>
            <w:r>
              <w:t>6930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Osteoporosis (T-score&lt;=-2.5, age&gt;=50)</w:t>
            </w:r>
          </w:p>
        </w:tc>
        <w:tc>
          <w:tcPr>
            <w:tcW w:type="dxa" w:w="2160"/>
          </w:tcPr>
          <w:p>
            <w:r>
              <w:t>Osteoporosis (T-score&lt;=-2.5, age&gt;=50)</w:t>
            </w:r>
          </w:p>
        </w:tc>
      </w:tr>
      <w:tr>
        <w:tc>
          <w:tcPr>
            <w:tcW w:type="dxa" w:w="2160"/>
          </w:tcPr>
          <w:p>
            <w:r>
              <w:t>High body fat (M&gt;=25/F&gt;=35%) (exposure)</w:t>
            </w:r>
          </w:p>
        </w:tc>
        <w:tc>
          <w:tcPr>
            <w:tcW w:type="dxa" w:w="2160"/>
          </w:tcPr>
          <w:p>
            <w:r>
              <w:t>79.6%</w:t>
            </w:r>
          </w:p>
        </w:tc>
        <w:tc>
          <w:tcPr>
            <w:tcW w:type="dxa" w:w="2160"/>
          </w:tcPr>
          <w:p>
            <w:r>
              <w:t>80.5%</w:t>
            </w:r>
          </w:p>
        </w:tc>
        <w:tc>
          <w:tcPr>
            <w:tcW w:type="dxa" w:w="2160"/>
          </w:tcPr>
          <w:p>
            <w:r>
              <w:t>63.2%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62.8</w:t>
            </w:r>
          </w:p>
        </w:tc>
        <w:tc>
          <w:tcPr>
            <w:tcW w:type="dxa" w:w="2160"/>
          </w:tcPr>
          <w:p>
            <w:r>
              <w:t>62.2</w:t>
            </w:r>
          </w:p>
        </w:tc>
        <w:tc>
          <w:tcPr>
            <w:tcW w:type="dxa" w:w="2160"/>
          </w:tcPr>
          <w:p>
            <w:r>
              <w:t>68.6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46.6%</w:t>
            </w:r>
          </w:p>
        </w:tc>
        <w:tc>
          <w:tcPr>
            <w:tcW w:type="dxa" w:w="2160"/>
          </w:tcPr>
          <w:p>
            <w:r>
              <w:t>49.4%</w:t>
            </w:r>
          </w:p>
        </w:tc>
        <w:tc>
          <w:tcPr>
            <w:tcW w:type="dxa" w:w="2160"/>
          </w:tcPr>
          <w:p>
            <w:r>
              <w:t>17.6%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28.8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47.6%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41.3%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77.1%</w:t>
            </w:r>
          </w:p>
        </w:tc>
        <w:tc>
          <w:tcPr>
            <w:tcW w:type="dxa" w:w="2160"/>
          </w:tcPr>
          <w:p>
            <w:r>
              <w:t>78.3%</w:t>
            </w:r>
          </w:p>
        </w:tc>
        <w:tc>
          <w:tcPr>
            <w:tcW w:type="dxa" w:w="2160"/>
          </w:tcPr>
          <w:p>
            <w:r>
              <w:t>65.3%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