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positively associated with Osteoporosis (T-score&lt;=-2.5, age&gt;=50) (odds ratio 1.27 (95% CI 0.76 to 2.11), false discovery rate q 0.421) among 6930 adults aged 20 years or older (a weighted Osteoporosis (T-score&lt;=-2.5, age&gt;=50) prevalence of 8.7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1.27 (95% CI 0.76 to 2.11)</w:t>
            </w:r>
          </w:p>
        </w:tc>
        <w:tc>
          <w:tcPr>
            <w:tcW w:type="dxa" w:w="1234"/>
          </w:tcPr>
          <w:p>
            <w:r>
              <w:t>0.365</w:t>
            </w:r>
          </w:p>
        </w:tc>
        <w:tc>
          <w:tcPr>
            <w:tcW w:type="dxa" w:w="1234"/>
          </w:tcPr>
          <w:p>
            <w:r>
              <w:t>0.421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High LDL cholesterol (&gt;=160) (exposure)</w:t>
            </w:r>
          </w:p>
        </w:tc>
        <w:tc>
          <w:tcPr>
            <w:tcW w:type="dxa" w:w="2160"/>
          </w:tcPr>
          <w:p>
            <w:r>
              <w:t>12.3%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14.1%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