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Osteoporosis (T-score&lt;=-2.5, age&gt;=50) (odds ratio 1.23 (95% CI 0.84 to 1.81), false discovery rate q 0.342)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0.84 to 1.81)</w:t>
            </w:r>
          </w:p>
        </w:tc>
        <w:tc>
          <w:tcPr>
            <w:tcW w:type="dxa" w:w="1234"/>
          </w:tcPr>
          <w:p>
            <w:r>
              <w:t>0.289</w:t>
            </w:r>
          </w:p>
        </w:tc>
        <w:tc>
          <w:tcPr>
            <w:tcW w:type="dxa" w:w="1234"/>
          </w:tcPr>
          <w:p>
            <w:r>
              <w:t>0.342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13.6%</w:t>
            </w:r>
          </w:p>
        </w:tc>
        <w:tc>
          <w:tcPr>
            <w:tcW w:type="dxa" w:w="2160"/>
          </w:tcPr>
          <w:p>
            <w:r>
              <w:t>13.6%</w:t>
            </w:r>
          </w:p>
        </w:tc>
        <w:tc>
          <w:tcPr>
            <w:tcW w:type="dxa" w:w="2160"/>
          </w:tcPr>
          <w:p>
            <w:r>
              <w:t>13.8%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