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Osteoporosis (T-score&lt;=-2.5, age&gt;=50) (odds ratio per 1-SD 1.10 (95% CI 0.90 to 1.35), false discovery rate q 0.408) among 6930 adults aged 20 years or older (a weighted Osteoporosis (T-score&lt;=-2.5, age&gt;=50) prevalence of 8.7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0.90 to 1.35)</w:t>
            </w:r>
          </w:p>
        </w:tc>
        <w:tc>
          <w:tcPr>
            <w:tcW w:type="dxa" w:w="1234"/>
          </w:tcPr>
          <w:p>
            <w:r>
              <w:t>0.352</w:t>
            </w:r>
          </w:p>
        </w:tc>
        <w:tc>
          <w:tcPr>
            <w:tcW w:type="dxa" w:w="1234"/>
          </w:tcPr>
          <w:p>
            <w:r>
              <w:t>0.408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117.6</w:t>
            </w:r>
          </w:p>
        </w:tc>
        <w:tc>
          <w:tcPr>
            <w:tcW w:type="dxa" w:w="2160"/>
          </w:tcPr>
          <w:p>
            <w:r>
              <w:t>117.5</w:t>
            </w:r>
          </w:p>
        </w:tc>
        <w:tc>
          <w:tcPr>
            <w:tcW w:type="dxa" w:w="2160"/>
          </w:tcPr>
          <w:p>
            <w:r>
              <w:t>119.7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