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MASLD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MASLD was inversely associated with Osteoporosis (T-score&lt;=-2.5, age&gt;=50) (odds ratio 0.87 (95% CI 0.40 to 1.88), false discovery rate q 0.765) among 6930 adults aged 20 years or older (a weighted Osteoporosis (T-score&lt;=-2.5, age&gt;=50) prevalence of 8.7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0.87 (95% CI 0.40 to 1.88)</w:t>
            </w:r>
          </w:p>
        </w:tc>
        <w:tc>
          <w:tcPr>
            <w:tcW w:type="dxa" w:w="1234"/>
          </w:tcPr>
          <w:p>
            <w:r>
              <w:t>0.730</w:t>
            </w:r>
          </w:p>
        </w:tc>
        <w:tc>
          <w:tcPr>
            <w:tcW w:type="dxa" w:w="1234"/>
          </w:tcPr>
          <w:p>
            <w:r>
              <w:t>0.765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MASLD (exposure)</w:t>
            </w:r>
          </w:p>
        </w:tc>
        <w:tc>
          <w:tcPr>
            <w:tcW w:type="dxa" w:w="2160"/>
          </w:tcPr>
          <w:p>
            <w:r>
              <w:t>61.0%</w:t>
            </w:r>
          </w:p>
        </w:tc>
        <w:tc>
          <w:tcPr>
            <w:tcW w:type="dxa" w:w="2160"/>
          </w:tcPr>
          <w:p>
            <w:r>
              <w:t>63.5%</w:t>
            </w:r>
          </w:p>
        </w:tc>
        <w:tc>
          <w:tcPr>
            <w:tcW w:type="dxa" w:w="2160"/>
          </w:tcPr>
          <w:p>
            <w:r>
              <w:t>40.7%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