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inversely associated with Osteoporosis (T-score&lt;=-2.5, age&gt;=50) (odds ratio 0.23 (95% CI 0.18 to 0.31),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0.23 (95% CI 0.18 to 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35.7%</w:t>
            </w:r>
          </w:p>
        </w:tc>
        <w:tc>
          <w:tcPr>
            <w:tcW w:type="dxa" w:w="2160"/>
          </w:tcPr>
          <w:p>
            <w:r>
              <w:t>37.9%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