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Overweight (KSSO &gt;=23 / WHO &gt;=25, country-specific) and Osteoporosis (T-score&lt;=-2.5, age&gt;=50)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Overweight (KSSO &gt;=23 / WHO &gt;=25, country-specific) was inversely associated with Osteoporosis (T-score&lt;=-2.5, age&gt;=50) (odds ratio 0.24 (95% CI 0.20 to 0.30), false discovery rate q &lt;0.001) among 6930 adults aged 20 years or older (a weighted Osteoporosis (T-score&lt;=-2.5, age&gt;=50) prevalence of 8.7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0.24 (95% CI 0.20 to 0.30)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6930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Overweight (KSSO &gt;=23 / WHO &gt;=25, country-specific) (exposure)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  <w:tc>
          <w:tcPr>
            <w:tcW w:type="dxa" w:w="2160"/>
          </w:tcPr>
          <w:p>
            <w:r>
              <w:t>76.4%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62.8</w:t>
            </w:r>
          </w:p>
        </w:tc>
        <w:tc>
          <w:tcPr>
            <w:tcW w:type="dxa" w:w="2160"/>
          </w:tcPr>
          <w:p>
            <w:r>
              <w:t>62.2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46.6%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  <w:tc>
          <w:tcPr>
            <w:tcW w:type="dxa" w:w="2160"/>
          </w:tcPr>
          <w:p>
            <w:r>
              <w:t>17.6%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47.6%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41.3%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77.1%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65.3%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