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Osteoporosis (T-score&lt;=-2.5, age&gt;=50) (odds ratio per 1-SD 1.05 (95% CI 0.93 to 1.19), false discovery rate q 0.474)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0.93 to 1.19)</w:t>
            </w:r>
          </w:p>
        </w:tc>
        <w:tc>
          <w:tcPr>
            <w:tcW w:type="dxa" w:w="1234"/>
          </w:tcPr>
          <w:p>
            <w:r>
              <w:t>0.416</w:t>
            </w:r>
          </w:p>
        </w:tc>
        <w:tc>
          <w:tcPr>
            <w:tcW w:type="dxa" w:w="1234"/>
          </w:tcPr>
          <w:p>
            <w:r>
              <w:t>0.474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242.9</w:t>
            </w:r>
          </w:p>
        </w:tc>
        <w:tc>
          <w:tcPr>
            <w:tcW w:type="dxa" w:w="2160"/>
          </w:tcPr>
          <w:p>
            <w:r>
              <w:t>242.3</w:t>
            </w:r>
          </w:p>
        </w:tc>
        <w:tc>
          <w:tcPr>
            <w:tcW w:type="dxa" w:w="2160"/>
          </w:tcPr>
          <w:p>
            <w:r>
              <w:t>249.4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