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Osteoporosis (T-score&lt;=-2.5, age&gt;=50) (odds ratio 1.05 (95% CI 0.83 to 1.34), false discovery rate q 0.719)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0.83 to 1.34)</w:t>
            </w:r>
          </w:p>
        </w:tc>
        <w:tc>
          <w:tcPr>
            <w:tcW w:type="dxa" w:w="1234"/>
          </w:tcPr>
          <w:p>
            <w:r>
              <w:t>0.677</w:t>
            </w:r>
          </w:p>
        </w:tc>
        <w:tc>
          <w:tcPr>
            <w:tcW w:type="dxa" w:w="1234"/>
          </w:tcPr>
          <w:p>
            <w:r>
              <w:t>0.719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40.0%</w:t>
            </w:r>
          </w:p>
        </w:tc>
        <w:tc>
          <w:tcPr>
            <w:tcW w:type="dxa" w:w="2160"/>
          </w:tcPr>
          <w:p>
            <w:r>
              <w:t>39.9%</w:t>
            </w:r>
          </w:p>
        </w:tc>
        <w:tc>
          <w:tcPr>
            <w:tcW w:type="dxa" w:w="2160"/>
          </w:tcPr>
          <w:p>
            <w:r>
              <w:t>41.8%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