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Osteoporosis (T-score&lt;=-2.5, age&gt;=50) (odds ratio per 1-SD 1.08 (95% CI 0.93 to 1.25), false discovery rate q 0.353)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0.93 to 1.25)</w:t>
            </w:r>
          </w:p>
        </w:tc>
        <w:tc>
          <w:tcPr>
            <w:tcW w:type="dxa" w:w="1234"/>
          </w:tcPr>
          <w:p>
            <w:r>
              <w:t>0.299</w:t>
            </w:r>
          </w:p>
        </w:tc>
        <w:tc>
          <w:tcPr>
            <w:tcW w:type="dxa" w:w="1234"/>
          </w:tcPr>
          <w:p>
            <w:r>
              <w:t>0.353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129.6</w:t>
            </w:r>
          </w:p>
        </w:tc>
        <w:tc>
          <w:tcPr>
            <w:tcW w:type="dxa" w:w="2160"/>
          </w:tcPr>
          <w:p>
            <w:r>
              <w:t>129.1</w:t>
            </w:r>
          </w:p>
        </w:tc>
        <w:tc>
          <w:tcPr>
            <w:tcW w:type="dxa" w:w="2160"/>
          </w:tcPr>
          <w:p>
            <w:r>
              <w:t>134.4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