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fat mass, kg and Osteoporosis (T-score&lt;=-2.5, age&gt;=50)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Total fat mass, kg was inversely associated with Osteoporosis (T-score&lt;=-2.5, age&gt;=50) (odds ratio per 1-SD 0.36 (95% CI 0.25 to 0.54), false discovery rate q &lt;0.001) among 6930 adults aged 20 years or older (a weighted Osteoporosis (T-score&lt;=-2.5, age&gt;=50) prevalence of 8.7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fat mass, kg</w:t>
            </w:r>
          </w:p>
        </w:tc>
        <w:tc>
          <w:tcPr>
            <w:tcW w:type="dxa" w:w="1234"/>
          </w:tcPr>
          <w:p>
            <w:r>
              <w:t>Osteoporosis (T-score&lt;=-2.5, age&gt;=50)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0.36 (95% CI 0.25 to 0.54)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6930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Osteoporosis (T-score&lt;=-2.5, age&gt;=50)</w:t>
            </w:r>
          </w:p>
        </w:tc>
        <w:tc>
          <w:tcPr>
            <w:tcW w:type="dxa" w:w="2160"/>
          </w:tcPr>
          <w:p>
            <w:r>
              <w:t>Osteoporosis (T-score&lt;=-2.5, age&gt;=50)</w:t>
            </w:r>
          </w:p>
        </w:tc>
      </w:tr>
      <w:tr>
        <w:tc>
          <w:tcPr>
            <w:tcW w:type="dxa" w:w="2160"/>
          </w:tcPr>
          <w:p>
            <w:r>
              <w:t>Total fat mass, kg (exposure)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29.4</w:t>
            </w:r>
          </w:p>
        </w:tc>
        <w:tc>
          <w:tcPr>
            <w:tcW w:type="dxa" w:w="2160"/>
          </w:tcPr>
          <w:p>
            <w:r>
              <w:t>23.5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62.8</w:t>
            </w:r>
          </w:p>
        </w:tc>
        <w:tc>
          <w:tcPr>
            <w:tcW w:type="dxa" w:w="2160"/>
          </w:tcPr>
          <w:p>
            <w:r>
              <w:t>62.2</w:t>
            </w:r>
          </w:p>
        </w:tc>
        <w:tc>
          <w:tcPr>
            <w:tcW w:type="dxa" w:w="2160"/>
          </w:tcPr>
          <w:p>
            <w:r>
              <w:t>68.6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46.6%</w:t>
            </w:r>
          </w:p>
        </w:tc>
        <w:tc>
          <w:tcPr>
            <w:tcW w:type="dxa" w:w="2160"/>
          </w:tcPr>
          <w:p>
            <w:r>
              <w:t>49.4%</w:t>
            </w:r>
          </w:p>
        </w:tc>
        <w:tc>
          <w:tcPr>
            <w:tcW w:type="dxa" w:w="2160"/>
          </w:tcPr>
          <w:p>
            <w:r>
              <w:t>17.6%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28.8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25.0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47.6%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41.3%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77.1%</w:t>
            </w:r>
          </w:p>
        </w:tc>
        <w:tc>
          <w:tcPr>
            <w:tcW w:type="dxa" w:w="2160"/>
          </w:tcPr>
          <w:p>
            <w:r>
              <w:t>78.3%</w:t>
            </w:r>
          </w:p>
        </w:tc>
        <w:tc>
          <w:tcPr>
            <w:tcW w:type="dxa" w:w="2160"/>
          </w:tcPr>
          <w:p>
            <w:r>
              <w:t>65.3%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