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Osteoporosis (T-score&lt;=-2.5, age&gt;=50) (odds ratio per 1-SD 0.91 (95% CI 0.74 to 1.11), false discovery rate q 0.389)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0.74 to 1.11)</w:t>
            </w:r>
          </w:p>
        </w:tc>
        <w:tc>
          <w:tcPr>
            <w:tcW w:type="dxa" w:w="1234"/>
          </w:tcPr>
          <w:p>
            <w:r>
              <w:t>0.334</w:t>
            </w:r>
          </w:p>
        </w:tc>
        <w:tc>
          <w:tcPr>
            <w:tcW w:type="dxa" w:w="1234"/>
          </w:tcPr>
          <w:p>
            <w:r>
              <w:t>0.389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129.8</w:t>
            </w:r>
          </w:p>
        </w:tc>
        <w:tc>
          <w:tcPr>
            <w:tcW w:type="dxa" w:w="2160"/>
          </w:tcPr>
          <w:p>
            <w:r>
              <w:t>131.1</w:t>
            </w:r>
          </w:p>
        </w:tc>
        <w:tc>
          <w:tcPr>
            <w:tcW w:type="dxa" w:w="2160"/>
          </w:tcPr>
          <w:p>
            <w:r>
              <w:t>114.6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