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Osteoporosis (T-score&lt;=-2.5, age&gt;=50)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White blood cell count, 10^3/uL was positively associated with Osteoporosis (T-score&lt;=-2.5, age&gt;=50) (odds ratio per 1-SD 1.07 (95% CI 0.84 to 1.36), false discovery rate q 0.633) among 6930 adults aged 20 years or older (a weighted Osteoporosis (T-score&lt;=-2.5, age&gt;=50) prevalence of 8.7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1.07 (95% CI 0.84 to 1.36)</w:t>
            </w:r>
          </w:p>
        </w:tc>
        <w:tc>
          <w:tcPr>
            <w:tcW w:type="dxa" w:w="1234"/>
          </w:tcPr>
          <w:p>
            <w:r>
              <w:t>0.581</w:t>
            </w:r>
          </w:p>
        </w:tc>
        <w:tc>
          <w:tcPr>
            <w:tcW w:type="dxa" w:w="1234"/>
          </w:tcPr>
          <w:p>
            <w:r>
              <w:t>0.633</w:t>
            </w:r>
          </w:p>
        </w:tc>
        <w:tc>
          <w:tcPr>
            <w:tcW w:type="dxa" w:w="1234"/>
          </w:tcPr>
          <w:p>
            <w:r>
              <w:t>6930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White blood cell count, 10^3/uL (exposure)</w:t>
            </w:r>
          </w:p>
        </w:tc>
        <w:tc>
          <w:tcPr>
            <w:tcW w:type="dxa" w:w="2160"/>
          </w:tcPr>
          <w:p>
            <w:r>
              <w:t>7.1</w:t>
            </w:r>
          </w:p>
        </w:tc>
        <w:tc>
          <w:tcPr>
            <w:tcW w:type="dxa" w:w="2160"/>
          </w:tcPr>
          <w:p>
            <w:r>
              <w:t>7.1</w:t>
            </w:r>
          </w:p>
        </w:tc>
        <w:tc>
          <w:tcPr>
            <w:tcW w:type="dxa" w:w="2160"/>
          </w:tcPr>
          <w:p>
            <w:r>
              <w:t>7.1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62.8</w:t>
            </w:r>
          </w:p>
        </w:tc>
        <w:tc>
          <w:tcPr>
            <w:tcW w:type="dxa" w:w="2160"/>
          </w:tcPr>
          <w:p>
            <w:r>
              <w:t>62.2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17.6%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77.1%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65.3%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