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Overweight (KSSO &gt;=23 / WHO &gt;=25, country-specific) (odds ratio per 1-SD 2.00 (95% CI 1.73 to 2.32),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2.00 (95% CI 1.73 to 2.32)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20.8</w:t>
            </w:r>
          </w:p>
        </w:tc>
        <w:tc>
          <w:tcPr>
            <w:tcW w:type="dxa" w:w="2160"/>
          </w:tcPr>
          <w:p>
            <w:r>
              <w:t>26.6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