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Overweight (KSSO &gt;=23 / WHO &gt;=25, country-specific) (odds ratio 0.93 (95% CI 0.82 to 1.07), false discovery rate q 0.360)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0.82 to 1.07)</w:t>
            </w:r>
          </w:p>
        </w:tc>
        <w:tc>
          <w:tcPr>
            <w:tcW w:type="dxa" w:w="1234"/>
          </w:tcPr>
          <w:p>
            <w:r>
              <w:t>0.306</w:t>
            </w:r>
          </w:p>
        </w:tc>
        <w:tc>
          <w:tcPr>
            <w:tcW w:type="dxa" w:w="1234"/>
          </w:tcPr>
          <w:p>
            <w:r>
              <w:t>0.360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