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Overweight (KSSO &gt;=23 / WHO &gt;=25, country-specific) (odds ratio 4.81 (95% CI 3.72 to 6.23),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4.81 (95% CI 3.72 to 6.23)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4.0%</w:t>
            </w:r>
          </w:p>
        </w:tc>
        <w:tc>
          <w:tcPr>
            <w:tcW w:type="dxa" w:w="2160"/>
          </w:tcPr>
          <w:p>
            <w:r>
              <w:t>16.8%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