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Overweight (KSSO &gt;=23 / WHO &gt;=25,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positively associated with Overweight (KSSO &gt;=23 / WHO &gt;=25, country-specific) (odds ratio per 1-SD 3.98 (95% CI 3.48 to 4.57), false discovery rate q &lt;0.001) among 26491 adults aged 20 years or older (a weighted Overweight (KSSO &gt;=23 / WHO &gt;=25, country-specific) prevalence of 70.2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3.98 (95% CI 3.48 to 4.57)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Controlled attenuation parameter, dB/m (exposure)</w:t>
            </w:r>
          </w:p>
        </w:tc>
        <w:tc>
          <w:tcPr>
            <w:tcW w:type="dxa" w:w="2160"/>
          </w:tcPr>
          <w:p>
            <w:r>
              <w:t>262.8</w:t>
            </w:r>
          </w:p>
        </w:tc>
        <w:tc>
          <w:tcPr>
            <w:tcW w:type="dxa" w:w="2160"/>
          </w:tcPr>
          <w:p>
            <w:r>
              <w:t>216.7</w:t>
            </w:r>
          </w:p>
        </w:tc>
        <w:tc>
          <w:tcPr>
            <w:tcW w:type="dxa" w:w="2160"/>
          </w:tcPr>
          <w:p>
            <w:r>
              <w:t>280.2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