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Overweight (KSSO &gt;=23 / WHO &gt;=25, country-specific) (odds ratio 0.67 (95% CI 0.61 to 0.74), false discovery rate q &lt;0.001) among 26491 adults aged 20 years or older (a weighted Overweight (KSSO &gt;=23 / WHO &gt;=25, country-specific) prevalence of 70.2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0.67 (95% CI 0.61 to 0.74)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19.5%</w:t>
            </w:r>
          </w:p>
        </w:tc>
        <w:tc>
          <w:tcPr>
            <w:tcW w:type="dxa" w:w="2160"/>
          </w:tcPr>
          <w:p>
            <w:r>
              <w:t>24.3%</w:t>
            </w:r>
          </w:p>
        </w:tc>
        <w:tc>
          <w:tcPr>
            <w:tcW w:type="dxa" w:w="2160"/>
          </w:tcPr>
          <w:p>
            <w:r>
              <w:t>17.4%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