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Overweight (KSSO &gt;=23 / WHO &gt;=25, country-specific) (odds ratio per 1-SD 1.31 (95% CI 1.26 to 1.36),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1.26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69.1</w:t>
            </w:r>
          </w:p>
        </w:tc>
        <w:tc>
          <w:tcPr>
            <w:tcW w:type="dxa" w:w="2160"/>
          </w:tcPr>
          <w:p>
            <w:r>
              <w:t>72.6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