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Overweight (KSSO &gt;=23 / WHO &gt;=25, country-specific) (odds ratio per 1-SD 0.93 (95% CI 0.88 to 0.99), false discovery rate q 0.022)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0.88 to 0.99)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96.2</w:t>
            </w:r>
          </w:p>
        </w:tc>
        <w:tc>
          <w:tcPr>
            <w:tcW w:type="dxa" w:w="2160"/>
          </w:tcPr>
          <w:p>
            <w:r>
              <w:t>99.0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