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Elevated ALT (&gt;40 IU/L) and Overweight (KSSO &gt;=23 / WHO &gt;=25, country-specific)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Elevated ALT (&gt;40 IU/L) was positively associated with Overweight (KSSO &gt;=23 / WHO &gt;=25, country-specific) (odds ratio 2.77 (95% CI 2.32 to 3.30), false discovery rate q &lt;0.001) among 26491 adults aged 20 years or older (a weighted Overweight (KSSO &gt;=23 / WHO &gt;=25, country-specific) prevalence of 70.2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Elevated ALT (&gt;40 IU/L)</w:t>
            </w:r>
          </w:p>
        </w:tc>
        <w:tc>
          <w:tcPr>
            <w:tcW w:type="dxa" w:w="1234"/>
          </w:tcPr>
          <w:p>
            <w:r>
              <w:t>Overweight (KSSO &gt;=23 / WHO &gt;=25, country-specific)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2.77 (95% CI 2.32 to 3.30)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26491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Overweight (KSSO &gt;=23 / WHO &gt;=25, country-specific)</w:t>
            </w:r>
          </w:p>
        </w:tc>
        <w:tc>
          <w:tcPr>
            <w:tcW w:type="dxa" w:w="2160"/>
          </w:tcPr>
          <w:p>
            <w:r>
              <w:t>Overweight (KSSO &gt;=23 / WHO &gt;=25, country-specific)</w:t>
            </w:r>
          </w:p>
        </w:tc>
      </w:tr>
      <w:tr>
        <w:tc>
          <w:tcPr>
            <w:tcW w:type="dxa" w:w="2160"/>
          </w:tcPr>
          <w:p>
            <w:r>
              <w:t>Elevated ALT (&gt;40 IU/L) (exposure)</w:t>
            </w:r>
          </w:p>
        </w:tc>
        <w:tc>
          <w:tcPr>
            <w:tcW w:type="dxa" w:w="2160"/>
          </w:tcPr>
          <w:p>
            <w:r>
              <w:t>9.8%</w:t>
            </w:r>
          </w:p>
        </w:tc>
        <w:tc>
          <w:tcPr>
            <w:tcW w:type="dxa" w:w="2160"/>
          </w:tcPr>
          <w:p>
            <w:r>
              <w:t>4.7%</w:t>
            </w:r>
          </w:p>
        </w:tc>
        <w:tc>
          <w:tcPr>
            <w:tcW w:type="dxa" w:w="2160"/>
          </w:tcPr>
          <w:p>
            <w:r>
              <w:t>11.9%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44.7</w:t>
            </w:r>
          </w:p>
        </w:tc>
        <w:tc>
          <w:tcPr>
            <w:tcW w:type="dxa" w:w="2160"/>
          </w:tcPr>
          <w:p>
            <w:r>
              <w:t>48.5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42.6%</w:t>
            </w:r>
          </w:p>
        </w:tc>
        <w:tc>
          <w:tcPr>
            <w:tcW w:type="dxa" w:w="2160"/>
          </w:tcPr>
          <w:p>
            <w:r>
              <w:t>50.3%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42.9%</w:t>
            </w:r>
          </w:p>
        </w:tc>
        <w:tc>
          <w:tcPr>
            <w:tcW w:type="dxa" w:w="2160"/>
          </w:tcPr>
          <w:p>
            <w:r>
              <w:t>43.4%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81.5%</w:t>
            </w:r>
          </w:p>
        </w:tc>
        <w:tc>
          <w:tcPr>
            <w:tcW w:type="dxa" w:w="2160"/>
          </w:tcPr>
          <w:p>
            <w:r>
              <w:t>80.4%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