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Overweight (KSSO &gt;=23 / WHO &gt;=25,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HOMA-IR was positively associated with Overweight (KSSO &gt;=23 / WHO &gt;=25, country-specific) (odds ratio per 1-SD of log 4.35 (95% CI 3.95 to 4.79), false discovery rate q &lt;0.001) among 26491 adults aged 20 years or older (a weighted Overweight (KSSO &gt;=23 / WHO &gt;=25, country-specific) prevalence of 70.2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4.35 (95% CI 3.95 to 4.79)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odds ratio is per 1-SD increase in the natural log of HOMA-IR.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HOMA-IR (exposure)</w:t>
            </w:r>
          </w:p>
        </w:tc>
        <w:tc>
          <w:tcPr>
            <w:tcW w:type="dxa" w:w="2160"/>
          </w:tcPr>
          <w:p>
            <w:r>
              <w:t>3.9</w:t>
            </w:r>
          </w:p>
        </w:tc>
        <w:tc>
          <w:tcPr>
            <w:tcW w:type="dxa" w:w="2160"/>
          </w:tcPr>
          <w:p>
            <w:r>
              <w:t>1.9</w:t>
            </w:r>
          </w:p>
        </w:tc>
        <w:tc>
          <w:tcPr>
            <w:tcW w:type="dxa" w:w="2160"/>
          </w:tcPr>
          <w:p>
            <w:r>
              <w:t>4.8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