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Overweight (KSSO &gt;=23 / WHO &gt;=25, country-specific) (odds ratio 7.88 (95% CI 6.77 to 9.17),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7.88 (95% CI 6.77 to 9.17)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16.9%</w:t>
            </w:r>
          </w:p>
        </w:tc>
        <w:tc>
          <w:tcPr>
            <w:tcW w:type="dxa" w:w="2160"/>
          </w:tcPr>
          <w:p>
            <w:r>
              <w:t>61.0%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