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Overweight (KSSO &gt;=23 / WHO &gt;=25, country-specific) (odds ratio per 1-SD 1.27 (95% CI 1.19 to 1.35),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1.27 (95% CI 1.19 to 1.35)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113.8</w:t>
            </w:r>
          </w:p>
        </w:tc>
        <w:tc>
          <w:tcPr>
            <w:tcW w:type="dxa" w:w="2160"/>
          </w:tcPr>
          <w:p>
            <w:r>
              <w:t>108.1</w:t>
            </w:r>
          </w:p>
        </w:tc>
        <w:tc>
          <w:tcPr>
            <w:tcW w:type="dxa" w:w="2160"/>
          </w:tcPr>
          <w:p>
            <w:r>
              <w:t>116.3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