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Overweight (KSSO &gt;=23 / WHO &gt;=25, country-specific) (odds ratio per 1-SD 2.15 (95% CI 1.15 to 4.01), false discovery rate q 0.053)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2.15 (95% CI 1.15 to 4.01)</w:t>
            </w:r>
          </w:p>
        </w:tc>
        <w:tc>
          <w:tcPr>
            <w:tcW w:type="dxa" w:w="1234"/>
          </w:tcPr>
          <w:p>
            <w:r>
              <w:t>0.037</w:t>
            </w:r>
          </w:p>
        </w:tc>
        <w:tc>
          <w:tcPr>
            <w:tcW w:type="dxa" w:w="1234"/>
          </w:tcPr>
          <w:p>
            <w:r>
              <w:t>0.053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Liver stiffness, kPa (exposure)</w:t>
            </w:r>
          </w:p>
        </w:tc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4.9</w:t>
            </w:r>
          </w:p>
        </w:tc>
        <w:tc>
          <w:tcPr>
            <w:tcW w:type="dxa" w:w="2160"/>
          </w:tcPr>
          <w:p>
            <w:r>
              <w:t>6.5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