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Overweight (KSSO &gt;=23 / WHO &gt;=25, country-specific) (odds ratio per 1-SD 1.59 (95% CI 1.51 to 1.68),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1.51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127.6</w:t>
            </w:r>
          </w:p>
        </w:tc>
        <w:tc>
          <w:tcPr>
            <w:tcW w:type="dxa" w:w="2160"/>
          </w:tcPr>
          <w:p>
            <w:r>
              <w:t>145.2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