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Overweight (KSSO &gt;=23 / WHO &gt;=25, country-specific) (odds ratio per 1-SD 1.24 (95% CI 1.19 to 1.29),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1.19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249.3</w:t>
            </w:r>
          </w:p>
        </w:tc>
        <w:tc>
          <w:tcPr>
            <w:tcW w:type="dxa" w:w="2160"/>
          </w:tcPr>
          <w:p>
            <w:r>
              <w:t>244.1</w:t>
            </w:r>
          </w:p>
        </w:tc>
        <w:tc>
          <w:tcPr>
            <w:tcW w:type="dxa" w:w="2160"/>
          </w:tcPr>
          <w:p>
            <w:r>
              <w:t>251.5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