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Overweight (KSSO &gt;=23 / WHO &gt;=25, country-specific) (odds ratio 1.55 (95% CI 1.41 to 1.70),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1.41 to 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Prediabetes (exposure)</w:t>
            </w:r>
          </w:p>
        </w:tc>
        <w:tc>
          <w:tcPr>
            <w:tcW w:type="dxa" w:w="2160"/>
          </w:tcPr>
          <w:p>
            <w:r>
              <w:t>32.5%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35.9%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