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Overweight (KSSO &gt;=23 / WHO &gt;=25, country-specific) (odds ratio per 1-SD 1.25 (95% CI 1.19 to 1.32),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1.19 to 1.32)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122.5</w:t>
            </w:r>
          </w:p>
        </w:tc>
        <w:tc>
          <w:tcPr>
            <w:tcW w:type="dxa" w:w="2160"/>
          </w:tcPr>
          <w:p>
            <w:r>
              <w:t>119.2</w:t>
            </w:r>
          </w:p>
        </w:tc>
        <w:tc>
          <w:tcPr>
            <w:tcW w:type="dxa" w:w="2160"/>
          </w:tcPr>
          <w:p>
            <w:r>
              <w:t>124.0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