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Overweight (KSSO &gt;=23 / WHO &gt;=25, country-specific) (odds ratio per 1-SD 1.19 (95% CI 1.13 to 1.24),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1.13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193.8</w:t>
            </w:r>
          </w:p>
        </w:tc>
        <w:tc>
          <w:tcPr>
            <w:tcW w:type="dxa" w:w="2160"/>
          </w:tcPr>
          <w:p>
            <w:r>
              <w:t>188.9</w:t>
            </w:r>
          </w:p>
        </w:tc>
        <w:tc>
          <w:tcPr>
            <w:tcW w:type="dxa" w:w="2160"/>
          </w:tcPr>
          <w:p>
            <w:r>
              <w:t>195.8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